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30"/>
          <w:rtl w:val="0"/>
        </w:rPr>
        <w:t xml:space="preserve">Nadační fond Jaroslava Heyrovského,  Sámova 3, Praha 10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Jaroslav Heyrovský Endowment Fund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IČO : 604320047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1"/>
        <w:widowControl w:val="0"/>
        <w:numPr>
          <w:ilvl w:val="0"/>
          <w:numId w:val="6"/>
        </w:numPr>
        <w:spacing w:lineRule="auto" w:after="278" w:line="276" w:before="278"/>
        <w:ind w:left="432" w:hanging="431"/>
        <w:jc w:val="center"/>
        <w:rPr/>
      </w:pPr>
      <w:r w:rsidRPr="00000000" w:rsidR="00000000" w:rsidDel="00000000">
        <w:rPr>
          <w:rFonts w:cs="Arimo" w:hAnsi="Arimo" w:eastAsia="Arimo" w:ascii="Arimo"/>
          <w:b w:val="1"/>
          <w:color w:val="00000a"/>
          <w:sz w:val="48"/>
          <w:rtl w:val="0"/>
        </w:rPr>
        <w:t xml:space="preserve">Výroční zpráva o činnosti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1"/>
        <w:widowControl w:val="0"/>
        <w:numPr>
          <w:ilvl w:val="0"/>
          <w:numId w:val="6"/>
        </w:numPr>
        <w:spacing w:lineRule="auto" w:after="278" w:line="276" w:before="278"/>
        <w:ind w:left="432" w:hanging="431"/>
        <w:jc w:val="center"/>
        <w:rPr/>
      </w:pPr>
      <w:r w:rsidRPr="00000000" w:rsidR="00000000" w:rsidDel="00000000">
        <w:rPr>
          <w:rFonts w:cs="Arimo" w:hAnsi="Arimo" w:eastAsia="Arimo" w:ascii="Arimo"/>
          <w:b w:val="1"/>
          <w:color w:val="00000a"/>
          <w:sz w:val="48"/>
          <w:rtl w:val="0"/>
        </w:rPr>
        <w:br w:type="textWrapping"/>
        <w:t xml:space="preserve">Nadačního fondu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1"/>
        <w:widowControl w:val="0"/>
        <w:numPr>
          <w:ilvl w:val="0"/>
          <w:numId w:val="6"/>
        </w:numPr>
        <w:spacing w:lineRule="auto" w:after="278" w:line="276" w:before="278"/>
        <w:ind w:left="432" w:hanging="431"/>
        <w:jc w:val="center"/>
        <w:rPr/>
      </w:pPr>
      <w:r w:rsidRPr="00000000" w:rsidR="00000000" w:rsidDel="00000000">
        <w:rPr>
          <w:rFonts w:cs="Arimo" w:hAnsi="Arimo" w:eastAsia="Arimo" w:ascii="Arimo"/>
          <w:b w:val="1"/>
          <w:color w:val="00000a"/>
          <w:sz w:val="48"/>
          <w:rtl w:val="0"/>
        </w:rPr>
        <w:t xml:space="preserve">Jaroslava Heyrovského </w:t>
        <w:br w:type="textWrapping"/>
        <w:t xml:space="preserve">za rok 2013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center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30"/>
          <w:rtl w:val="0"/>
        </w:rPr>
        <w:t xml:space="preserve">Schválena na zasedání správní rady NF JH dne 17.6.2014 s připomínkami 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r w:rsidRPr="00000000" w:rsidR="00000000" w:rsidDel="00000000">
        <w:br w:type="page"/>
      </w:r>
    </w:p>
    <w:p w:rsidP="00000000" w:rsidRPr="00000000" w:rsidR="00000000" w:rsidDel="00000000" w:rsidRDefault="00000000">
      <w:pPr>
        <w:keepNext w:val="1"/>
        <w:widowControl w:val="0"/>
        <w:numPr>
          <w:ilvl w:val="1"/>
          <w:numId w:val="5"/>
        </w:numPr>
        <w:spacing w:lineRule="auto" w:after="120" w:line="276" w:before="240"/>
        <w:ind w:left="567" w:hanging="282"/>
        <w:rPr/>
      </w:pPr>
      <w:r w:rsidRPr="00000000" w:rsidR="00000000" w:rsidDel="00000000">
        <w:rPr>
          <w:rFonts w:cs="Arial" w:hAnsi="Arial" w:eastAsia="Arial" w:ascii="Arial"/>
          <w:b w:val="1"/>
          <w:i w:val="1"/>
          <w:color w:val="00000a"/>
          <w:sz w:val="28"/>
          <w:rtl w:val="0"/>
        </w:rPr>
        <w:t xml:space="preserve">Historie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Ustavující schůzka zakladatelů, navržené správní rady a členů čestného předsednictva Nadace Jaroslava Heyrovského se konala 16.6.1993 v Institutu dětí a mládeže MŠMT v Praze 2.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Byl projednán první návrh statutu a zakládací listiny.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Dne 10.9.1993 byla Nadace Jaroslava Heyrovského zaregistrována na Obvodním úřadu v Praze 2. Po přestěhování sídla nadace - IDM MŠMT- na začátku roku 1997 do Prahy 10 byla nadace přeregistrována u Obvodního úřadu v Praze 10 (15.10.1997).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Podle zákona o nadacích 227/1997 Nadace Jaroslava Heyrovského následně požádala o zápis do nadačního rejstříku už jako Nadační fond Jaroslava Heyrovského (od 3.3.1999).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NIDM MŠMT byl ministerstvem ke dni 31.12.2013 zrušen, takže NF JH řeší novou  adresu.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1"/>
        <w:widowControl w:val="0"/>
        <w:numPr>
          <w:ilvl w:val="1"/>
          <w:numId w:val="5"/>
        </w:numPr>
        <w:spacing w:lineRule="auto" w:after="120" w:line="276" w:before="240"/>
        <w:ind w:left="567" w:hanging="282"/>
        <w:rPr/>
      </w:pPr>
      <w:r w:rsidRPr="00000000" w:rsidR="00000000" w:rsidDel="00000000">
        <w:rPr>
          <w:rFonts w:cs="Arial" w:hAnsi="Arial" w:eastAsia="Arial" w:ascii="Arial"/>
          <w:b w:val="1"/>
          <w:i w:val="1"/>
          <w:color w:val="00000a"/>
          <w:sz w:val="28"/>
          <w:rtl w:val="0"/>
        </w:rPr>
        <w:t xml:space="preserve">Úvod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Zpráva o činnosti NFJH je zpracována za období kalendářního roku 2013. Hodnotí období, jehož činnosti byly zformulovány zasedáním správní rady v prosinci 2010 a upřesněny v červnu 2012 ( plán na 2.pololetí). Celkově je možno konstatovat, že byly splněny záměry pro rok 2013. NF JH vyvíjel aktivity v souladu s plánem i posláním NF JH.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1"/>
        <w:widowControl w:val="0"/>
        <w:numPr>
          <w:ilvl w:val="1"/>
          <w:numId w:val="5"/>
        </w:numPr>
        <w:spacing w:lineRule="auto" w:after="120" w:line="276" w:before="240"/>
        <w:ind w:left="567" w:hanging="282"/>
        <w:rPr/>
      </w:pPr>
      <w:r w:rsidRPr="00000000" w:rsidR="00000000" w:rsidDel="00000000">
        <w:rPr>
          <w:rFonts w:cs="Arial" w:hAnsi="Arial" w:eastAsia="Arial" w:ascii="Arial"/>
          <w:b w:val="1"/>
          <w:i w:val="1"/>
          <w:color w:val="00000a"/>
          <w:sz w:val="28"/>
          <w:rtl w:val="0"/>
        </w:rPr>
        <w:t xml:space="preserve">Předávání Cen NF JH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se datuje od roku 1994, kdy byly ceny uděleny jednotlivě za originální řešení vítězi Matematické olympiády – programování, dále vítězi praktické části Biologické olympiády a dvěma autorům vítězné práce SOČ z fyziky.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Od roku 1996 se rozšířil počet oceňovaných soutěží dále o Matematickou olympiádu kat. A, Fyzikální olympiádu, Chemickou olympiádu kat. A a  kat. E, později byly přibrány i humanitní předmětové soutěže: Olympiáda v českém jazyce (OČJ) a Soutěž mladých historiků – později Dějepisná olympiáda.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Hlavní akcí NF JF je každoroční udílení Cen NF JH v prosinci navrženým laureátům z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e SOČ a předmětových soutěží, vyhlašovaných Ministerstvem školství, mládeže a tělovýchovy.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U příležitosti nedožitých 123. narozenin prof. Jaroslava Heyrovského (*20.12.1890)  se dne 16. prosince 2013  v Ústavu fyzikální chemie J. Heyrovského AV ČR v Praze 8, Dolejškova ul. 3 již tradičně udělovaly Ceny Nadačního fondu Jaroslava Heyrovského za rok 2013.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Obdrželo je celkem 10 středoškoláků z celé České republiky.- seznam dále.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Ocenění autoři SOČ představili své oceněné práce ostatním kolegům a odpovídali na dotazy přítomných.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Na předávání Cen NF JH byli pozváni a oceněni i učitelé oceněných studentů. Za úspěchem v předmětových soutěžích stojí velmi často i učitelé, ačkoliv svorně tvrdili, že jejich žáci jsou tak výjimečně nadaní, že jejich pomoc ani nepotřebovali. Ale i kdyby to byla pravda, tak zájem učitele o výsledky svého žáka je motivující a povzbuzující.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Studenty a hosty přivítala  jménem ústavu Ing. Stejskalová, dále je pozdravil  prof. Ing. Rudolf Zahradník, DrSc.,čestný předseda Akademie věd ČR.  Přednášku a pořad o Jaroslavu Heyrovském  připravila Ing. Květ. Stejskalová, CSc.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Opět se uskutečnila akce, na které byli oceněni také učitelé či konzultanti vítězů  jednotlivých oborů SOČ.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Na akci se vedle NF JH a Ústavu FCH JH AV ČR dále podílel i Národní institut dětí a mládeže MŠMT. Předávání cen se vedle oceněných studentů zúčastnili i jejich učitelé, rodiče, konzultanti, předsedové ústředních komisí olympiád a další milí čestní hosté.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Akci  podpořila knihovna AV ČR a   firma GameStar.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Ceny NF JH 2013 předával   Dr. Michael Heyrovský.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Po oficiální části byl prostor i na  neformální rozhovory s hosty a studenty.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Fotodokumentace   je na www.njh.cz v rubrice Fotogalerie.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Ocenění studenti obdrželi finanční odměnu ve výši</w:t>
      </w: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 3 000 Kč 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, diplom a knihy z vydavatelství Academia a pamětní medaili ústavu.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Ocenění učitelé a konzultanti obdrželi  finanční odměnu </w:t>
      </w: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1 000 Kč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, Pamětní list, knižní odměnu a  plakát. Pokud byli dva, finanční odměna se dělila napůl.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Seznam oceněných studentů a učitelů v příloze 1.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1"/>
        <w:widowControl w:val="0"/>
        <w:numPr>
          <w:ilvl w:val="1"/>
          <w:numId w:val="5"/>
        </w:numPr>
        <w:spacing w:lineRule="auto" w:after="120" w:line="276" w:before="240"/>
        <w:ind w:left="567" w:hanging="282"/>
        <w:rPr/>
      </w:pPr>
      <w:r w:rsidRPr="00000000" w:rsidR="00000000" w:rsidDel="00000000">
        <w:rPr>
          <w:rFonts w:cs="Arial" w:hAnsi="Arial" w:eastAsia="Arial" w:ascii="Arial"/>
          <w:b w:val="1"/>
          <w:i w:val="1"/>
          <w:color w:val="00000a"/>
          <w:sz w:val="28"/>
          <w:rtl w:val="0"/>
        </w:rPr>
        <w:t xml:space="preserve">Sponzoři, partneři, patroni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NF JH nezískal v roce 20013 nové  sponzory.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Nakladatelství Academia věnovalo oceněným studentům i učitelům hodnotné knižní dary. prostřednictvím knihovny AV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1"/>
        <w:widowControl w:val="0"/>
        <w:numPr>
          <w:ilvl w:val="1"/>
          <w:numId w:val="5"/>
        </w:numPr>
        <w:spacing w:lineRule="auto" w:after="120" w:line="276" w:before="240"/>
        <w:ind w:left="567" w:hanging="282"/>
        <w:rPr/>
      </w:pPr>
      <w:r w:rsidRPr="00000000" w:rsidR="00000000" w:rsidDel="00000000">
        <w:rPr>
          <w:rFonts w:cs="Arial" w:hAnsi="Arial" w:eastAsia="Arial" w:ascii="Arial"/>
          <w:b w:val="1"/>
          <w:i w:val="1"/>
          <w:color w:val="00000a"/>
          <w:sz w:val="28"/>
          <w:rtl w:val="0"/>
        </w:rPr>
        <w:t xml:space="preserve">Hodnocení akcí pro učitele a žáky středních škol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V roce 2013 uspořádal ÚFCH JH řadu akcí pro středoškolské studenty a pedagogy, které se odehrávají rovněž pod hlavičkou NF JH  (organizačně byly akce zajišťovány tajemnicí zástupce ředitele pro vědu a výchovu  ing. K. Stejskalovou, CSc.).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both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Jednalo se o</w:t>
      </w: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 70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různých </w:t>
      </w: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popularizačních a vzdělávacích akcí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pro studenty VŠ, žáky SŠ a ZŠ, předškoláky MŠ a zájemce z široké veřejnosti, které </w:t>
      </w: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navštívilo celkem 4610 návštěvníků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both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u w:val="single"/>
          <w:rtl w:val="0"/>
        </w:rPr>
        <w:t xml:space="preserve">Nejvýznamnějšími programy byly: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1"/>
        </w:numPr>
        <w:spacing w:lineRule="auto" w:after="0" w:line="276" w:before="120"/>
        <w:ind w:left="720" w:hanging="359"/>
        <w:contextualSpacing w:val="1"/>
        <w:jc w:val="both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Dny otevřených dveří ÚFCH JH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(7. a 8.11.2013) a další naše akce v rámci 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Týdne vědy a techniky 2013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(celkem 965 účastníků);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1"/>
        </w:numPr>
        <w:spacing w:lineRule="auto" w:after="0" w:line="276" w:before="0"/>
        <w:ind w:left="720" w:hanging="359"/>
        <w:contextualSpacing w:val="1"/>
        <w:jc w:val="both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putovní výstava věnovaná J. Heyrovskému a jeho výzkumu v oboru polarografie s názvem 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Příběh kapky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úspěšně pokračovala dvěma novými výstavami  - ve Žďáru nad Sázavou (budova BiGy) a Železném Brodu (galerie SUPŠS). Celkový počet jejich návštěvníků za roky 2009 - 2013 tak vzrostl na 10 300 (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dosud proběhlo 13 různých výstav. Virtuální podoba výstavy je aktualizována na její webové stránce </w:t>
      </w:r>
      <w:hyperlink r:id="rId5">
        <w:r w:rsidRPr="00000000" w:rsidR="00000000" w:rsidDel="00000000">
          <w:rPr>
            <w:rFonts w:cs="Times New Roman" w:hAnsi="Times New Roman" w:eastAsia="Times New Roman" w:ascii="Times New Roman"/>
            <w:b w:val="0"/>
            <w:i w:val="1"/>
            <w:color w:val="0000ff"/>
            <w:sz w:val="24"/>
            <w:u w:val="single"/>
            <w:rtl w:val="0"/>
          </w:rPr>
          <w:t xml:space="preserve">http://www.jh-inst.cas.cz/heyrovsky</w:t>
        </w:r>
      </w:hyperlink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);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1"/>
        </w:numPr>
        <w:spacing w:lineRule="auto" w:after="0" w:line="276" w:before="0"/>
        <w:ind w:left="720" w:hanging="359"/>
        <w:contextualSpacing w:val="1"/>
        <w:jc w:val="both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krásy chemie a principy vědeckého bádání vědci představili široké veřejnosti opět svým tradičním stánkem s pokusy 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Věda není nuda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na veletrhu 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Chemický jarmark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(září 2013);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1"/>
        </w:numPr>
        <w:spacing w:lineRule="auto" w:after="0" w:line="276" w:before="0"/>
        <w:ind w:left="720" w:hanging="359"/>
        <w:contextualSpacing w:val="1"/>
        <w:jc w:val="both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pro žáky 23 středních škol pokračoval program workshopů či popularizačních přednášek a exkursí (celkem 1495 účastníků);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1"/>
        </w:numPr>
        <w:spacing w:lineRule="auto" w:after="0" w:line="276" w:before="0"/>
        <w:ind w:left="720" w:hanging="359"/>
        <w:contextualSpacing w:val="1"/>
        <w:jc w:val="both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žáci z 22 základních škol z celé ČR absolvovali celkem 28 workshopů 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Chemie není nuda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(595 žáků) a 8 chemických divadel představujících chemii a profesi vědce pod názvem 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Posviť si citronem na duhu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(160 žáků);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1"/>
        </w:numPr>
        <w:spacing w:lineRule="auto" w:after="0" w:line="276" w:before="0"/>
        <w:ind w:left="720" w:hanging="359"/>
        <w:contextualSpacing w:val="1"/>
        <w:jc w:val="both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pro 125 dětí z 5 MŠ bylo sehráno 6 představení tohoto chemického divadla;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1"/>
        </w:numPr>
        <w:spacing w:lineRule="auto" w:after="0" w:line="276" w:before="0"/>
        <w:ind w:left="720" w:hanging="359"/>
        <w:contextualSpacing w:val="1"/>
        <w:jc w:val="both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27 středoškoláků docházelo celoročně na odborné praxe či mimoškolní odborné stáže (v projektu AV ČR 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Otevřená věda III, 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ÚFCH JH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 Tři nástroje, 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BiGY ze Žďáru n. Sázavou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 Přírodní a technické obory - výzva pro  budoucnost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);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1"/>
        </w:numPr>
        <w:spacing w:lineRule="auto" w:after="0" w:line="276" w:before="0"/>
        <w:ind w:left="720" w:hanging="359"/>
        <w:contextualSpacing w:val="1"/>
        <w:jc w:val="both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11 talentovaných středoškoláků z celé ČR navštívilo 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Letní školu o nanomateriálech a nanotechnologiích STUDENT 757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(týden v srpnu 2013);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1"/>
        </w:numPr>
        <w:spacing w:lineRule="auto" w:after="0" w:line="276" w:before="0"/>
        <w:ind w:left="720" w:hanging="359"/>
        <w:contextualSpacing w:val="1"/>
        <w:jc w:val="both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proběhl již 8. ročník výstavy amatérských uměleckých prací vědců z ÚFCH JH s názvem 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Nejen prací živ je vědec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(prosinec 2013);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1"/>
        </w:numPr>
        <w:spacing w:lineRule="auto" w:after="0" w:line="276" w:before="0"/>
        <w:ind w:left="720" w:hanging="359"/>
        <w:contextualSpacing w:val="1"/>
        <w:jc w:val="both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návštěvníkům akcí DOD 2013 byla představena mikroskopická pracoviště ústavu a jejich výzkum v oboru nanomateriálů a nanotechnologií putovní výstavou fotografií 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Nanosvět očima mikroskopů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(Praha, listopad 2013);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1"/>
        </w:numPr>
        <w:spacing w:lineRule="auto" w:after="0" w:line="276" w:before="0"/>
        <w:ind w:left="720" w:hanging="359"/>
        <w:contextualSpacing w:val="1"/>
        <w:jc w:val="both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několikaleté zapojení vědců do pestré palety aktivit projektu Otevřená věda I až III bylo představeno výstavou posterů a fotografií s názvem 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Žijeme Otevřenou vědou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(červen-srpen 2013);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1"/>
        </w:numPr>
        <w:spacing w:lineRule="auto" w:after="200" w:line="276" w:before="0"/>
        <w:ind w:left="720" w:hanging="359"/>
        <w:contextualSpacing w:val="1"/>
        <w:jc w:val="both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Ústav byl opět spoluorganizátorem každoročního předávání 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Cen Nadačního fondu J. Heyrovského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talentovaným SŠ studentům z celé ČR.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  <w:jc w:val="both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Podrobný přehled všech akcí i s bohatou fotogalerií přináší odkaz </w:t>
      </w: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ZKUS VĚDU U NÁS 2013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stránek popularizačního a vzdělávacího projektu ústavu </w:t>
      </w:r>
      <w:r w:rsidRPr="00000000" w:rsidR="00000000" w:rsidDel="00000000">
        <w:rPr>
          <w:rFonts w:cs="Times New Roman" w:hAnsi="Times New Roman" w:eastAsia="Times New Roman" w:ascii="Times New Roman"/>
          <w:b w:val="0"/>
          <w:i w:val="1"/>
          <w:color w:val="00000a"/>
          <w:sz w:val="24"/>
          <w:rtl w:val="0"/>
        </w:rPr>
        <w:t xml:space="preserve">Tři nástroje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(</w:t>
      </w:r>
      <w:hyperlink r:id="rId6">
        <w:r w:rsidRPr="00000000" w:rsidR="00000000" w:rsidDel="00000000">
          <w:rPr>
            <w:rFonts w:cs="Times New Roman" w:hAnsi="Times New Roman" w:eastAsia="Times New Roman" w:ascii="Times New Roman"/>
            <w:b w:val="0"/>
            <w:color w:val="0000ff"/>
            <w:sz w:val="24"/>
            <w:u w:val="single"/>
            <w:rtl w:val="0"/>
          </w:rPr>
          <w:t xml:space="preserve">http://www.jh-inst.cas.cz/3nastroje</w:t>
        </w:r>
      </w:hyperlink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).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1"/>
        <w:widowControl w:val="0"/>
        <w:numPr>
          <w:ilvl w:val="1"/>
          <w:numId w:val="5"/>
        </w:numPr>
        <w:spacing w:lineRule="auto" w:after="120" w:line="276" w:before="240"/>
        <w:ind w:left="567" w:hanging="282"/>
        <w:rPr/>
      </w:pPr>
      <w:r w:rsidRPr="00000000" w:rsidR="00000000" w:rsidDel="00000000">
        <w:rPr>
          <w:rFonts w:cs="Arial" w:hAnsi="Arial" w:eastAsia="Arial" w:ascii="Arial"/>
          <w:b w:val="1"/>
          <w:i w:val="1"/>
          <w:color w:val="000000"/>
          <w:sz w:val="28"/>
          <w:rtl w:val="0"/>
        </w:rPr>
        <w:t xml:space="preserve">Správní rada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se sešla v průběhu roku 2013 celkem třikrát :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4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v dubnu (účetní uzávěrka, výroční zpráva, plán 2013 –2.pololetí, ),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4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v listopadu (neúplná - příprava předávání cen)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4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v prosinci (vlastní předávání cen).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1"/>
        <w:widowControl w:val="0"/>
        <w:numPr>
          <w:ilvl w:val="1"/>
          <w:numId w:val="5"/>
        </w:numPr>
        <w:spacing w:lineRule="auto" w:after="120" w:line="276" w:before="240"/>
        <w:ind w:left="567" w:hanging="282"/>
        <w:rPr/>
      </w:pPr>
      <w:r w:rsidRPr="00000000" w:rsidR="00000000" w:rsidDel="00000000">
        <w:rPr>
          <w:rFonts w:cs="Arial" w:hAnsi="Arial" w:eastAsia="Arial" w:ascii="Arial"/>
          <w:b w:val="1"/>
          <w:i w:val="1"/>
          <w:color w:val="00000a"/>
          <w:sz w:val="28"/>
          <w:rtl w:val="0"/>
        </w:rPr>
        <w:t xml:space="preserve">Správní orgány Nadačního fondu Jaroslava Heyrovského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Členové správní rady: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3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Dr. Michael Heyrovský - zakladatel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3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Mgr. Jitka Černá - Heyrovská, místopředsedkyně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3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Mgr. Jitka Macháčková, předsedkyně,čestná předsedkyně SOČ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3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Doc. RNDr. Leo Boček,CSc. za matematickou olympiádu, (MFF UK Praha)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3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Prof. RNDr. Ivo Volf,CSc., předseda fyzikální olympiády (Univerzita Hradec Králové)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3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Doc. RNDr. Karel Holada, CSc., Ped F UK, VŠCHT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3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RNDr. František Zemánek, CSc. za chemickou olympiádu (Př F UK Praha)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3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Doc. Ing. Mgr. Petr Klán,CSc. , ČVUT Praha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3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Ing. Květoslava Stejskalová,CSc.,  tajemnice  nám. ředitele ÚFCH JH AV Praha, místopředsedkyně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Revizor: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3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Ing. Otto Hoffmann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Paní Mgr. Jitka Černá požádala správní radu o výměnu ve funkci hospodaření s finančními prostředky (stykem s bankou) vzhledem ke své dlouhodobé nepřítomnosti v ČR. Správní rada touto funkcí pověřila Ing. Kv. Stejskalovou, CSc.  a současně ji zvolila druhou místopředsedkyní.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1"/>
        <w:widowControl w:val="0"/>
        <w:numPr>
          <w:ilvl w:val="1"/>
          <w:numId w:val="5"/>
        </w:numPr>
        <w:spacing w:lineRule="auto" w:after="120" w:line="276" w:before="240"/>
        <w:ind w:left="567" w:hanging="282"/>
        <w:rPr/>
      </w:pPr>
      <w:r w:rsidRPr="00000000" w:rsidR="00000000" w:rsidDel="00000000">
        <w:rPr>
          <w:rFonts w:cs="Arial" w:hAnsi="Arial" w:eastAsia="Arial" w:ascii="Arial"/>
          <w:b w:val="1"/>
          <w:i w:val="1"/>
          <w:color w:val="00000a"/>
          <w:sz w:val="28"/>
          <w:rtl w:val="0"/>
        </w:rPr>
        <w:t xml:space="preserve">Vztahy s veřejností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V mediích byly v souvislosti se slavnostním předáváním Cen NF JH zveřejněny informace v Českém rozhlasu (živý vstup), deníku Právo a v odborném metodickém časopisu SPN Chemie, Biologie, Zeměpis,  v časopisu 21.století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Průběžně je aktualizována www stránka NFJH (</w:t>
      </w: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www.njh.cz)</w:t>
      </w: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, která byla spuštěna v roce1999. (viz graf sledovanosti.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1"/>
        <w:widowControl w:val="0"/>
        <w:numPr>
          <w:ilvl w:val="1"/>
          <w:numId w:val="5"/>
        </w:numPr>
        <w:spacing w:lineRule="auto" w:after="120" w:line="276" w:before="240"/>
        <w:ind w:left="567" w:hanging="282"/>
        <w:rPr/>
      </w:pPr>
      <w:r w:rsidRPr="00000000" w:rsidR="00000000" w:rsidDel="00000000">
        <w:rPr>
          <w:rFonts w:cs="Arial" w:hAnsi="Arial" w:eastAsia="Arial" w:ascii="Arial"/>
          <w:b w:val="1"/>
          <w:i w:val="1"/>
          <w:color w:val="00000a"/>
          <w:sz w:val="28"/>
          <w:rtl w:val="0"/>
        </w:rPr>
        <w:t xml:space="preserve">Další osvětové aktivity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NF JH aktivně spolupracoval s Talentcentrem NIDM MŠMT (Ing. M. Fatková ). Další pracovníci NIDM se aktivně účastní předávání Cen.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Prostřednictvím předsedkyně a ing. Stejskalové se NF JH účastní na pozvání nejrůznějších kulatých stolů, besed a přednášek v souvislosti s péčí o nadané studenty v rámci ČR - např. účastí na  tvůrčí dílně SOČ v Brně, semináři v Pardubicích, akcí České hlavy (hlavičky), Otevřené vědy, akcí Jihomoravského centra  atp.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1"/>
        <w:widowControl w:val="0"/>
        <w:numPr>
          <w:ilvl w:val="1"/>
          <w:numId w:val="5"/>
        </w:numPr>
        <w:spacing w:lineRule="auto" w:after="120" w:line="276" w:before="240"/>
        <w:ind w:left="567" w:hanging="282"/>
        <w:rPr/>
      </w:pPr>
      <w:r w:rsidRPr="00000000" w:rsidR="00000000" w:rsidDel="00000000">
        <w:rPr>
          <w:rFonts w:cs="Arial" w:hAnsi="Arial" w:eastAsia="Arial" w:ascii="Arial"/>
          <w:b w:val="1"/>
          <w:i w:val="1"/>
          <w:color w:val="00000a"/>
          <w:sz w:val="28"/>
          <w:rtl w:val="0"/>
        </w:rPr>
        <w:t xml:space="preserve">Stručná informace o hospodaření v roce 2013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Účetní zpracování provedla externě účetnická firma Mgr. Elišky Škorničkové.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(Výsledky hospodaření kontroloval Ing. Otto Hoffmann se závěrem, že finanční prostředky byly vynaloženy hospodárně a v souladu se statutem NF JH. (viz revizní zpráva)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Nadační fond Jaroslava Heyrovského hospodařil v roce 2013 se ztrátou  - 119 571 Kč.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Výkaz majetku: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Peníze v hotovosti k 1.1.2013 …......-577 Kč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                             k 31.12.2013.........471 Kč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Bankovní účty: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na běžném účtu             k 1.1.2013        158 295 Kč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                                      k 31.12.2013     24 977 Kč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devizový účet:         21 489  Kč (hodnota v Kč je ovlivněna kurzem dolaru) , na tomto účtu nebyl pohyb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Celkem zbytek  na obou účtech:  46 466 Kč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NF JH musel dle  předem uzavřené smlouvy dočerpat  finanční dar z předchozího roku 2012 v roce 2013 ( celkem 119 tis Kč )z daru firmy GameStar dle loterijního zákona.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Nebyly proplaceny žádné mzdy ani odměny správní radě ani nikomu jinému.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1"/>
        <w:widowControl w:val="0"/>
        <w:numPr>
          <w:ilvl w:val="1"/>
          <w:numId w:val="5"/>
        </w:numPr>
        <w:spacing w:lineRule="auto" w:after="120" w:line="276" w:before="240"/>
        <w:ind w:left="567" w:hanging="282"/>
        <w:rPr/>
      </w:pPr>
      <w:r w:rsidRPr="00000000" w:rsidR="00000000" w:rsidDel="00000000">
        <w:rPr>
          <w:rFonts w:cs="Arial" w:hAnsi="Arial" w:eastAsia="Arial" w:ascii="Arial"/>
          <w:b w:val="1"/>
          <w:i w:val="1"/>
          <w:color w:val="00000a"/>
          <w:sz w:val="28"/>
          <w:rtl w:val="0"/>
        </w:rPr>
        <w:t xml:space="preserve">Přehled poskytnutých nadačních příspěvků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12 x 3 000 Kč laureátům Cen NFJH – 36 tisíc Kč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12 x 1 000 Kč učitelům vítězů   12 000 Kč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18 x 1 000 Kč učitelům či konzultantům vítězů SOČ   18 000 Kč  (jedna ½ odměna ve výši 500 Kč se vrátila poštou)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Příspěvek na letní školu pro 2 studenty (2x 4000 Kč) - celkem 8 000 Kč..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1"/>
        <w:widowControl w:val="0"/>
        <w:numPr>
          <w:ilvl w:val="1"/>
          <w:numId w:val="5"/>
        </w:numPr>
        <w:spacing w:lineRule="auto" w:after="120" w:line="276" w:before="240"/>
        <w:ind w:left="567" w:hanging="282"/>
        <w:rPr/>
      </w:pPr>
      <w:r w:rsidRPr="00000000" w:rsidR="00000000" w:rsidDel="00000000">
        <w:rPr>
          <w:rFonts w:cs="Arial" w:hAnsi="Arial" w:eastAsia="Arial" w:ascii="Arial"/>
          <w:b w:val="1"/>
          <w:i w:val="1"/>
          <w:color w:val="00000a"/>
          <w:sz w:val="28"/>
          <w:rtl w:val="0"/>
        </w:rPr>
        <w:t xml:space="preserve">Poděkování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patří všem členům správní rady a spolupracovníkům, kteří bez nároků na honoráře spolupracují obětavě s naším nadačním fondem.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Mimořádný objem práce odvedla paní Ing. Květa Stejskalová. S výstavou Příběh kapky o Jaroslavu Heyrovském spolu s celou řadu doprovodných akcí i mimo Prahu šíří dobré jméno prof. Heyrovského. Svůj nesporný  podíl na úspěchu akcí má i pan dr. Michael Heyrovský, který spolupracuje nejenom autorsky, ale i organizačně.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 Velmi si ceníme pomoci paní Ing. Mirky Fatkové z NIDM MŠMT, vedení a dalším nejmenovaným pracovníkům ÚFCH JH AV ČR, děkujeme nakladatelství Academia za přízeň, které se nám od nich dostává.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1"/>
        <w:widowControl w:val="0"/>
        <w:numPr>
          <w:ilvl w:val="1"/>
          <w:numId w:val="5"/>
        </w:numPr>
        <w:spacing w:lineRule="auto" w:after="120" w:line="276" w:before="240"/>
        <w:ind w:left="567" w:hanging="282"/>
        <w:rPr/>
      </w:pPr>
      <w:r w:rsidRPr="00000000" w:rsidR="00000000" w:rsidDel="00000000">
        <w:rPr>
          <w:rFonts w:cs="Arial" w:hAnsi="Arial" w:eastAsia="Arial" w:ascii="Arial"/>
          <w:b w:val="1"/>
          <w:i w:val="1"/>
          <w:color w:val="00000a"/>
          <w:sz w:val="28"/>
          <w:rtl w:val="0"/>
        </w:rPr>
        <w:t xml:space="preserve">Základní informace o nadačním fondu Jaroslava Heyrovského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2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sídlo: Sámova 3, Praha 10 (do 31.12.2013)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2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kontaktní adresa předsedkyně: 180 00 Praha 8, Na Truhlářce 4,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2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Dr. Heyrovský do ústavu: ÚFCH JH AVČR, Dolejškova 3, 182 23 Praha 8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2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fax předsedkyně: 284681229, mobil 777 910 661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2"/>
        </w:numPr>
        <w:spacing w:lineRule="auto" w:after="120" w:line="276" w:before="0"/>
        <w:ind w:left="720" w:hanging="359"/>
        <w:rPr/>
      </w:pPr>
      <w:hyperlink r:id="rId7">
        <w:r w:rsidRPr="00000000" w:rsidR="00000000" w:rsidDel="00000000">
          <w:rPr>
            <w:rFonts w:cs="Times New Roman" w:hAnsi="Times New Roman" w:eastAsia="Times New Roman" w:ascii="Times New Roman"/>
            <w:b w:val="0"/>
            <w:color w:val="0000ff"/>
            <w:sz w:val="24"/>
            <w:u w:val="single"/>
            <w:rtl w:val="0"/>
          </w:rPr>
          <w:t xml:space="preserve">www.njh.cz</w:t>
        </w:r>
      </w:hyperlink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, info@njh.cz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2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bankovní spojení: 4565359/0800 (ČS a.s. Praha 2) - běžný účet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2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IČO : 60432047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numPr>
          <w:ilvl w:val="0"/>
          <w:numId w:val="2"/>
        </w:numPr>
        <w:spacing w:lineRule="auto" w:after="120" w:line="276" w:before="0"/>
        <w:ind w:left="720" w:hanging="359"/>
        <w:rPr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Angl. název: Jaroslav Heyrovský Endowment Fund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Výroční zpráva o činnosti NF JH v roce 2013 byla projednána   na pravidelné (výroční) poradě správní rady dne 17.6.2014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Příloha 1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Ocenění studenti a jejich učitelé za rok 2013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12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MATEMATICKÁ OLYMPIÁDA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kategorie A a Programování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tbl>
      <w:tblPr>
        <w:tblStyle w:val="KixTable1"/>
        <w:bidiVisual w:val="0"/>
        <w:tblW w:w="9643.0" w:type="dxa"/>
        <w:jc w:val="left"/>
        <w:tblInd w:w="-1206.0" w:type="dxa"/>
        <w:tblBorders>
          <w:top w:color="000001" w:space="0" w:val="single" w:sz="4"/>
          <w:left w:color="000001" w:space="0" w:val="single" w:sz="4"/>
          <w:bottom w:color="000001" w:space="0" w:val="single" w:sz="4"/>
        </w:tblBorders>
        <w:tblLayout w:type="fixed"/>
        <w:tblLook w:val="0000"/>
      </w:tblPr>
      <w:tblGrid>
        <w:gridCol w:w="1608"/>
        <w:gridCol w:w="8035"/>
        <w:tblGridChange w:id="0">
          <w:tblGrid>
            <w:gridCol w:w="1608"/>
            <w:gridCol w:w="8035"/>
          </w:tblGrid>
        </w:tblGridChange>
      </w:tblGrid>
      <w:tr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jméno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Štěpán Šimsa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škola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 Absolvent -Gymnázium J. Jungmanna, Svojsíkova 1,  Litoměřice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Další ocenění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Vyhrál dvě národní matematické olympiády: kategorii A a kategorii Programování</w:t>
            </w:r>
            <w:r w:rsidRPr="00000000" w:rsidR="00000000" w:rsidDel="00000000">
              <w:rPr>
                <w:rtl w:val="0"/>
              </w:rPr>
            </w:r>
          </w:p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- na 54.Mezinárodní Matematické Olympiádě v Santa Marta (Kolumbie)získal zlatou medaili</w:t>
            </w:r>
            <w:r w:rsidRPr="00000000" w:rsidR="00000000" w:rsidDel="00000000">
              <w:rPr>
                <w:rtl w:val="0"/>
              </w:rPr>
            </w:r>
          </w:p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-na 25. MO v informatice v Brisbane (Australie)získal bronzovou medaili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učitel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Mgr. Jitka Putnarová</w:t>
            </w: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FYZIKÁLNÍ OYMPIÁDA</w:t>
      </w:r>
      <w:r w:rsidRPr="00000000" w:rsidR="00000000" w:rsidDel="00000000">
        <w:rPr>
          <w:rtl w:val="0"/>
        </w:rPr>
      </w:r>
    </w:p>
    <w:tbl>
      <w:tblPr>
        <w:tblStyle w:val="KixTable2"/>
        <w:bidiVisual w:val="0"/>
        <w:tblW w:w="9623.0" w:type="dxa"/>
        <w:jc w:val="left"/>
        <w:tblInd w:w="-1184.0" w:type="dxa"/>
        <w:tblBorders>
          <w:top w:color="000001" w:space="0" w:val="single" w:sz="4"/>
          <w:left w:color="000001" w:space="0" w:val="single" w:sz="4"/>
          <w:bottom w:color="000001" w:space="0" w:val="single" w:sz="4"/>
        </w:tblBorders>
        <w:tblLayout w:type="fixed"/>
        <w:tblLook w:val="0000"/>
      </w:tblPr>
      <w:tblGrid>
        <w:gridCol w:w="1580"/>
        <w:gridCol w:w="8043"/>
        <w:tblGridChange w:id="0">
          <w:tblGrid>
            <w:gridCol w:w="1580"/>
            <w:gridCol w:w="8043"/>
          </w:tblGrid>
        </w:tblGridChange>
      </w:tblGrid>
      <w:tr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jméno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Lubomír Grund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škola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Absolvent - Gymnázium Ch. Dopplera ,Zborovská 45, Praha 5 – dnes student MFF UK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Další ocenění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vítěz FO 2013</w:t>
            </w:r>
            <w:r w:rsidRPr="00000000" w:rsidR="00000000" w:rsidDel="00000000">
              <w:rPr>
                <w:rtl w:val="0"/>
              </w:rPr>
            </w:r>
          </w:p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bookmarkStart w:id="0" w:colFirst="0" w:name="h.gjdgxs" w:colLast="0"/>
            <w:bookmarkEnd w:id="0"/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- na 44.mezinárodní fyzikální olympiádě v Kodani (Dánsko) získal stříbrnou medaili,  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učitel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Mgr. Štěpánka Jirošová</w:t>
            </w: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tbl>
      <w:tblPr>
        <w:tblStyle w:val="KixTable3"/>
        <w:bidiVisual w:val="0"/>
        <w:tblW w:w="9633.0" w:type="dxa"/>
        <w:jc w:val="left"/>
        <w:tblInd w:w="-1197.0" w:type="dxa"/>
        <w:tblBorders>
          <w:top w:color="000001" w:space="0" w:val="single" w:sz="4"/>
          <w:left w:color="000001" w:space="0" w:val="single" w:sz="4"/>
          <w:bottom w:color="000001" w:space="0" w:val="single" w:sz="4"/>
        </w:tblBorders>
        <w:tblLayout w:type="fixed"/>
        <w:tblLook w:val="0000"/>
      </w:tblPr>
      <w:tblGrid>
        <w:gridCol w:w="1593"/>
        <w:gridCol w:w="8040"/>
        <w:tblGridChange w:id="0">
          <w:tblGrid>
            <w:gridCol w:w="1593"/>
            <w:gridCol w:w="8040"/>
          </w:tblGrid>
        </w:tblGridChange>
      </w:tblGrid>
      <w:tr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jméno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4"/>
                <w:rtl w:val="0"/>
              </w:rPr>
              <w:t xml:space="preserve">Miroslav Hanzelka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škola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Absolvent -Gymnázium Žitavská , Česká Lípa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Další ocenění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-na 44.mezinárodní fyzikální olympiádě v Kodani (Dánsko) získal stříbrnou medaili</w:t>
            </w:r>
            <w:r w:rsidRPr="00000000" w:rsidR="00000000" w:rsidDel="00000000">
              <w:rPr>
                <w:rtl w:val="0"/>
              </w:rPr>
            </w:r>
          </w:p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na 7. mezinárodní olympiádě v astronomii a astrofyzice ve Valos (Řecko)- úspěšný řešitel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učitel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Mgr. Zdeněk Ježák</w:t>
            </w: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CHEMICKÁ  OLYMPIÁDA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kat. A</w:t>
      </w:r>
      <w:r w:rsidRPr="00000000" w:rsidR="00000000" w:rsidDel="00000000">
        <w:rPr>
          <w:rtl w:val="0"/>
        </w:rPr>
      </w:r>
    </w:p>
    <w:tbl>
      <w:tblPr>
        <w:tblStyle w:val="KixTable4"/>
        <w:bidiVisual w:val="0"/>
        <w:tblW w:w="9633.0" w:type="dxa"/>
        <w:jc w:val="left"/>
        <w:tblInd w:w="-1197.0" w:type="dxa"/>
        <w:tblBorders>
          <w:top w:color="000001" w:space="0" w:val="single" w:sz="4"/>
          <w:left w:color="000001" w:space="0" w:val="single" w:sz="4"/>
          <w:bottom w:color="000001" w:space="0" w:val="single" w:sz="4"/>
        </w:tblBorders>
        <w:tblLayout w:type="fixed"/>
        <w:tblLook w:val="0000"/>
      </w:tblPr>
      <w:tblGrid>
        <w:gridCol w:w="1593"/>
        <w:gridCol w:w="8040"/>
        <w:tblGridChange w:id="0">
          <w:tblGrid>
            <w:gridCol w:w="1593"/>
            <w:gridCol w:w="8040"/>
          </w:tblGrid>
        </w:tblGridChange>
      </w:tblGrid>
      <w:tr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jméno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Kamil Maršálek – získal Cenu NF JH i loni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škola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Absolvent -Klvaňovo Gymnázium  a SOŠ zdravotnická a sociální Kyjov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Další ocenění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- na 45.IChO v Moskvě (Rusko)  získal stříbrnou medaili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učitel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Mgr. Jiří Ondráček</w:t>
            </w: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ChO – kat.E</w:t>
      </w:r>
      <w:r w:rsidRPr="00000000" w:rsidR="00000000" w:rsidDel="00000000">
        <w:rPr>
          <w:rtl w:val="0"/>
        </w:rPr>
      </w:r>
    </w:p>
    <w:tbl>
      <w:tblPr>
        <w:tblStyle w:val="KixTable5"/>
        <w:bidiVisual w:val="0"/>
        <w:tblW w:w="9633.0" w:type="dxa"/>
        <w:jc w:val="left"/>
        <w:tblInd w:w="-1197.0" w:type="dxa"/>
        <w:tblBorders>
          <w:top w:color="000001" w:space="0" w:val="single" w:sz="4"/>
          <w:left w:color="000001" w:space="0" w:val="single" w:sz="4"/>
          <w:bottom w:color="000001" w:space="0" w:val="single" w:sz="4"/>
        </w:tblBorders>
        <w:tblLayout w:type="fixed"/>
        <w:tblLook w:val="0000"/>
      </w:tblPr>
      <w:tblGrid>
        <w:gridCol w:w="1593"/>
        <w:gridCol w:w="8040"/>
        <w:tblGridChange w:id="0">
          <w:tblGrid>
            <w:gridCol w:w="1593"/>
            <w:gridCol w:w="8040"/>
          </w:tblGrid>
        </w:tblGridChange>
      </w:tblGrid>
      <w:tr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jméno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Dominik Madea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škola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Střední průmyslová škola Otrokovice</w:t>
            </w:r>
            <w:r w:rsidRPr="00000000" w:rsidR="00000000" w:rsidDel="00000000">
              <w:rPr>
                <w:rtl w:val="0"/>
              </w:rPr>
            </w:r>
          </w:p>
        </w:tc>
      </w:tr>
      <w:tr>
        <w:trPr>
          <w:trHeight w:val="500" w:hRule="atLeast"/>
        </w:trP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Další ocenění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učitel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Mgr. Vlastimil Šnajdar</w:t>
            </w: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BIOLOGICKÁ OLYMPIÁDA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tbl>
      <w:tblPr>
        <w:tblStyle w:val="KixTable6"/>
        <w:bidiVisual w:val="0"/>
        <w:tblW w:w="9634.0" w:type="dxa"/>
        <w:jc w:val="left"/>
        <w:tblInd w:w="-1197.0" w:type="dxa"/>
        <w:tblBorders>
          <w:top w:color="000001" w:space="0" w:val="single" w:sz="4"/>
          <w:left w:color="000001" w:space="0" w:val="single" w:sz="4"/>
          <w:bottom w:color="000001" w:space="0" w:val="single" w:sz="4"/>
        </w:tblBorders>
        <w:tblLayout w:type="fixed"/>
        <w:tblLook w:val="0000"/>
      </w:tblPr>
      <w:tblGrid>
        <w:gridCol w:w="1578"/>
        <w:gridCol w:w="8056"/>
        <w:tblGridChange w:id="0">
          <w:tblGrid>
            <w:gridCol w:w="1578"/>
            <w:gridCol w:w="8056"/>
          </w:tblGrid>
        </w:tblGridChange>
      </w:tblGrid>
      <w:tr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jméno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Magdalena Holcová </w:t>
            </w: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-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škola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Absolventka -Gymnázium Botičská 1, Praha 2, 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Další ocenění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 24.MBO v Bernu (Švýcarsko) získala stříbrnou medaili , Cenu NF JH obdržela i loni, vítězka SOČ v oboru geologie, geografie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učitel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4"/>
                <w:rtl w:val="0"/>
              </w:rPr>
              <w:t xml:space="preserve">Mgr. Petr Šíma</w:t>
            </w: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STĚDOŠKOLSKÁ ODBORNÁ ČINNOST -SOČ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tbl>
      <w:tblPr>
        <w:tblStyle w:val="KixTable7"/>
        <w:bidiVisual w:val="0"/>
        <w:tblW w:w="9634.0" w:type="dxa"/>
        <w:jc w:val="left"/>
        <w:tblInd w:w="-1197.0" w:type="dxa"/>
        <w:tblBorders>
          <w:top w:color="000001" w:space="0" w:val="single" w:sz="4"/>
          <w:left w:color="000001" w:space="0" w:val="single" w:sz="4"/>
          <w:bottom w:color="000001" w:space="0" w:val="single" w:sz="4"/>
        </w:tblBorders>
        <w:tblLayout w:type="fixed"/>
        <w:tblLook w:val="0000"/>
      </w:tblPr>
      <w:tblGrid>
        <w:gridCol w:w="1578"/>
        <w:gridCol w:w="8056"/>
        <w:tblGridChange w:id="0">
          <w:tblGrid>
            <w:gridCol w:w="1578"/>
            <w:gridCol w:w="8056"/>
          </w:tblGrid>
        </w:tblGridChange>
      </w:tblGrid>
      <w:tr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4"/>
                <w:rtl w:val="0"/>
              </w:rPr>
              <w:t xml:space="preserve">Obor 03 chemie – 1.místo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Název práce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i w:val="1"/>
                <w:color w:val="00000a"/>
                <w:sz w:val="24"/>
                <w:rtl w:val="0"/>
              </w:rPr>
              <w:t xml:space="preserve">Chalkogenidové skelné luminofory pro fotoniku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jméno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4"/>
                <w:rtl w:val="0"/>
              </w:rPr>
              <w:t xml:space="preserve">Jan Hrabovský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škola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Absolvent -Gymnázium J.Ressela , Chrudim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Další ocenění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Student 757 – Cena NF JH</w:t>
            </w:r>
            <w:r w:rsidRPr="00000000" w:rsidR="00000000" w:rsidDel="00000000">
              <w:rPr>
                <w:rtl w:val="0"/>
              </w:rPr>
            </w:r>
          </w:p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účast na INTEL ISEF 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Konzultant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4"/>
                <w:rtl w:val="0"/>
              </w:rPr>
              <w:t xml:space="preserve">Prof. Ing. Miloslav Frumar,DrSc.,Univerzita Pardubice, ChTF</w:t>
            </w:r>
            <w:r w:rsidRPr="00000000" w:rsidR="00000000" w:rsidDel="00000000">
              <w:rPr>
                <w:rtl w:val="0"/>
              </w:rPr>
            </w:r>
          </w:p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tbl>
      <w:tblPr>
        <w:tblStyle w:val="KixTable8"/>
        <w:bidiVisual w:val="0"/>
        <w:tblW w:w="9633.0" w:type="dxa"/>
        <w:jc w:val="left"/>
        <w:tblInd w:w="-1197.0" w:type="dxa"/>
        <w:tblBorders>
          <w:top w:color="000001" w:space="0" w:val="single" w:sz="4"/>
          <w:left w:color="000001" w:space="0" w:val="single" w:sz="4"/>
          <w:bottom w:color="000001" w:space="0" w:val="single" w:sz="4"/>
        </w:tblBorders>
        <w:tblLayout w:type="fixed"/>
        <w:tblLook w:val="0000"/>
      </w:tblPr>
      <w:tblGrid>
        <w:gridCol w:w="1593"/>
        <w:gridCol w:w="8040"/>
        <w:tblGridChange w:id="0">
          <w:tblGrid>
            <w:gridCol w:w="1593"/>
            <w:gridCol w:w="8040"/>
          </w:tblGrid>
        </w:tblGridChange>
      </w:tblGrid>
      <w:tr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4"/>
                <w:rtl w:val="0"/>
              </w:rPr>
              <w:t xml:space="preserve">Obor 05 geologie,geografie -5. místo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Název práce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i w:val="1"/>
                <w:color w:val="00000a"/>
                <w:sz w:val="24"/>
                <w:rtl w:val="0"/>
              </w:rPr>
              <w:t xml:space="preserve">Mineralogický průzkum území Ašska a Chebska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jméno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Jiří Bufka, Anna Vaňková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škola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Gymnázium Cheb, Nerudova 7, 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Další ocenění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Návrh na účast v mezinárodní soutěži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učitel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Radka Králová</w:t>
            </w: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tbl>
      <w:tblPr>
        <w:tblStyle w:val="KixTable9"/>
        <w:bidiVisual w:val="0"/>
        <w:tblW w:w="9633.0" w:type="dxa"/>
        <w:jc w:val="left"/>
        <w:tblInd w:w="-1197.0" w:type="dxa"/>
        <w:tblBorders>
          <w:top w:color="000001" w:space="0" w:val="single" w:sz="4"/>
          <w:left w:color="000001" w:space="0" w:val="single" w:sz="4"/>
          <w:bottom w:color="000001" w:space="0" w:val="single" w:sz="4"/>
        </w:tblBorders>
        <w:tblLayout w:type="fixed"/>
        <w:tblLook w:val="0000"/>
      </w:tblPr>
      <w:tblGrid>
        <w:gridCol w:w="1593"/>
        <w:gridCol w:w="8040"/>
        <w:tblGridChange w:id="0">
          <w:tblGrid>
            <w:gridCol w:w="1593"/>
            <w:gridCol w:w="8040"/>
          </w:tblGrid>
        </w:tblGridChange>
      </w:tblGrid>
      <w:tr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4"/>
                <w:rtl w:val="0"/>
              </w:rPr>
              <w:t xml:space="preserve">Obor 06 Zdravotnictví – 3.místo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Název práce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i w:val="1"/>
                <w:color w:val="00000a"/>
                <w:sz w:val="24"/>
                <w:rtl w:val="0"/>
              </w:rPr>
              <w:t xml:space="preserve">Kochleární implantát a jeho přínos pro mladé lidi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jméno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Tomáš Černý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škola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Střední .zdravotnická škola Opava, Dvořákovy sady 2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Další ocenění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učitel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Mgr. Marcela Lasáková</w:t>
            </w: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tbl>
      <w:tblPr>
        <w:tblStyle w:val="KixTable10"/>
        <w:bidiVisual w:val="0"/>
        <w:tblW w:w="9634.0" w:type="dxa"/>
        <w:jc w:val="left"/>
        <w:tblInd w:w="-1197.0" w:type="dxa"/>
        <w:tblBorders>
          <w:top w:color="000001" w:space="0" w:val="single" w:sz="4"/>
          <w:left w:color="000001" w:space="0" w:val="single" w:sz="4"/>
          <w:bottom w:color="000001" w:space="0" w:val="single" w:sz="4"/>
        </w:tblBorders>
        <w:tblLayout w:type="fixed"/>
        <w:tblLook w:val="0000"/>
      </w:tblPr>
      <w:tblGrid>
        <w:gridCol w:w="1578"/>
        <w:gridCol w:w="8056"/>
        <w:tblGridChange w:id="0">
          <w:tblGrid>
            <w:gridCol w:w="1578"/>
            <w:gridCol w:w="8056"/>
          </w:tblGrid>
        </w:tblGridChange>
      </w:tblGrid>
      <w:tr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4"/>
                <w:rtl w:val="0"/>
              </w:rPr>
              <w:t xml:space="preserve">Obor 18 – informatika - místo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Název práce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i w:val="1"/>
                <w:color w:val="00000a"/>
                <w:sz w:val="24"/>
                <w:rtl w:val="0"/>
              </w:rPr>
              <w:t xml:space="preserve">Čištění ulic.cz – s námi nezapomenete přeparkovat své auto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jméno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Petr Tomášů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škola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Střední průmyslová, hotelová a zdravotnická  škola Uherské Hradiště, Kollárova 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Další ocenění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konzultant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Marek Pinkava</w:t>
            </w: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OLYMPIÁDA V ČESKÉM JAZYCE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tbl>
      <w:tblPr>
        <w:tblStyle w:val="KixTable11"/>
        <w:bidiVisual w:val="0"/>
        <w:tblW w:w="9634.0" w:type="dxa"/>
        <w:jc w:val="left"/>
        <w:tblInd w:w="-1197.0" w:type="dxa"/>
        <w:tblBorders>
          <w:top w:color="000001" w:space="0" w:val="single" w:sz="4"/>
          <w:left w:color="000001" w:space="0" w:val="single" w:sz="4"/>
          <w:bottom w:color="000001" w:space="0" w:val="single" w:sz="4"/>
        </w:tblBorders>
        <w:tblLayout w:type="fixed"/>
        <w:tblLook w:val="0000"/>
      </w:tblPr>
      <w:tblGrid>
        <w:gridCol w:w="1578"/>
        <w:gridCol w:w="8056"/>
        <w:tblGridChange w:id="0">
          <w:tblGrid>
            <w:gridCol w:w="1578"/>
            <w:gridCol w:w="8056"/>
          </w:tblGrid>
        </w:tblGridChange>
      </w:tblGrid>
      <w:tr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jméno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Zuzana Prokopová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škola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Gymnázium Na Vítězné pláni 1160/1,Praha 4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Další ocenění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učitel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Mgr. Eva Podzimková</w:t>
            </w: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DĚJEPISNÁ OLYMPIÁDA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tbl>
      <w:tblPr>
        <w:tblStyle w:val="KixTable12"/>
        <w:bidiVisual w:val="0"/>
        <w:tblW w:w="9634.0" w:type="dxa"/>
        <w:jc w:val="left"/>
        <w:tblInd w:w="-1197.0" w:type="dxa"/>
        <w:tblBorders>
          <w:top w:color="000001" w:space="0" w:val="single" w:sz="4"/>
          <w:left w:color="000001" w:space="0" w:val="single" w:sz="4"/>
          <w:bottom w:color="000001" w:space="0" w:val="single" w:sz="4"/>
        </w:tblBorders>
        <w:tblLayout w:type="fixed"/>
        <w:tblLook w:val="0000"/>
      </w:tblPr>
      <w:tblGrid>
        <w:gridCol w:w="1578"/>
        <w:gridCol w:w="8056"/>
        <w:tblGridChange w:id="0">
          <w:tblGrid>
            <w:gridCol w:w="1578"/>
            <w:gridCol w:w="8056"/>
          </w:tblGrid>
        </w:tblGridChange>
      </w:tblGrid>
      <w:tr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jméno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Jessica Cusacková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škola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3.ZŠ  Okružní 2331, 26901 Rakovník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učitel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1"/>
                <w:color w:val="00000a"/>
                <w:sz w:val="26"/>
                <w:rtl w:val="0"/>
              </w:rPr>
              <w:t xml:space="preserve">Mgr. Irena Náprstková</w:t>
            </w: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1"/>
          <w:color w:val="00000a"/>
          <w:sz w:val="24"/>
          <w:rtl w:val="0"/>
        </w:rPr>
        <w:t xml:space="preserve">Ocenění učitelé a konzultanti vítězných prací SOČ.</w:t>
      </w:r>
      <w:r w:rsidRPr="00000000" w:rsidR="00000000" w:rsidDel="00000000">
        <w:rPr>
          <w:rtl w:val="0"/>
        </w:rPr>
      </w:r>
    </w:p>
    <w:tbl>
      <w:tblPr>
        <w:tblStyle w:val="KixTable13"/>
        <w:bidiVisual w:val="0"/>
        <w:tblW w:w="9642.0" w:type="dxa"/>
        <w:jc w:val="left"/>
        <w:tblInd w:w="-323.0" w:type="dxa"/>
        <w:tblBorders>
          <w:top w:color="000001" w:space="0" w:val="single" w:sz="4"/>
          <w:left w:color="000001" w:space="0" w:val="single" w:sz="4"/>
          <w:bottom w:color="000001" w:space="0" w:val="single" w:sz="4"/>
        </w:tblBorders>
        <w:tblLayout w:type="fixed"/>
        <w:tblLook w:val="0000"/>
      </w:tblPr>
      <w:tblGrid>
        <w:gridCol w:w="2216"/>
        <w:gridCol w:w="7426"/>
        <w:tblGridChange w:id="0">
          <w:tblGrid>
            <w:gridCol w:w="2216"/>
            <w:gridCol w:w="7426"/>
          </w:tblGrid>
        </w:tblGridChange>
      </w:tblGrid>
      <w:tr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Soutěžní obor SOČ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top w:color="000001" w:space="0" w:val="single" w:sz="4"/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Učitel/ konzultant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01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Prof. RNDr. Pavel Pech, CSc.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02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Mgr. Jiří Bartoš,Ph. D.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03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Mgr. Klára Jelinková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04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RNDr. Jana Dobroruková</w:t>
            </w:r>
            <w:r w:rsidRPr="00000000" w:rsidR="00000000" w:rsidDel="00000000">
              <w:rPr>
                <w:rtl w:val="0"/>
              </w:rPr>
            </w:r>
          </w:p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RNDr. Věra Čapková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05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Mgr. Stanislav Vosolsobě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06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PhDr. Mgr. Marcela Helešicová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07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Ing. Petr Elzner,Ph. D.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08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Mgr. Lukáš Bjolek</w:t>
            </w:r>
            <w:r w:rsidRPr="00000000" w:rsidR="00000000" w:rsidDel="00000000">
              <w:rPr>
                <w:rtl w:val="0"/>
              </w:rPr>
            </w:r>
          </w:p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RNDr. Jaroslav Koleček, Ph. D.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09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Ing. Jaroslav Hodál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10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Mgr. Jarmila Ichová</w:t>
            </w:r>
            <w:r w:rsidRPr="00000000" w:rsidR="00000000" w:rsidDel="00000000">
              <w:rPr>
                <w:rtl w:val="0"/>
              </w:rPr>
            </w:r>
          </w:p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Mgr. Pavel Kavřík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11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Ing. Arch. Romana Augustinová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12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Mgr. Martin Hedeja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13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Ing. Naďa Bláhová, Ph. D.</w:t>
            </w:r>
            <w:r w:rsidRPr="00000000" w:rsidR="00000000" w:rsidDel="00000000">
              <w:rPr>
                <w:rtl w:val="0"/>
              </w:rPr>
            </w:r>
          </w:p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RNDr. Jiřina Svobodová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14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Martin Skýpala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15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Mgr. Olga Thamová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16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Mgr. Eva Hurychová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17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Mgr. Jan Kratochvíl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val="single" w:sz="4"/>
              <w:bottom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18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left w:color="000001" w:space="0" w:val="single" w:sz="4"/>
              <w:bottom w:color="000001" w:space="0" w:val="single" w:sz="4"/>
              <w:right w:color="000001" w:space="0" w:val="single" w:sz="4"/>
            </w:tcBorders>
            <w:shd w:fill="ffffff"/>
            <w:tcMar>
              <w:left w:w="108.0" w:type="dxa"/>
              <w:right w:w="108.0" w:type="dxa"/>
            </w:tcMar>
          </w:tcPr>
          <w:p w:rsidP="00000000" w:rsidRPr="00000000" w:rsidR="00000000" w:rsidDel="00000000" w:rsidRDefault="00000000">
            <w:pPr>
              <w:widowControl w:val="0"/>
              <w:spacing w:lineRule="auto" w:after="200" w:line="276" w:before="0"/>
              <w:contextualSpacing w:val="0"/>
            </w:pPr>
            <w:r w:rsidRPr="00000000" w:rsidR="00000000" w:rsidDel="00000000">
              <w:rPr>
                <w:rFonts w:cs="Times New Roman" w:hAnsi="Times New Roman" w:eastAsia="Times New Roman" w:ascii="Times New Roman"/>
                <w:b w:val="0"/>
                <w:color w:val="00000a"/>
                <w:sz w:val="24"/>
                <w:rtl w:val="0"/>
              </w:rPr>
              <w:t xml:space="preserve">Jakub Streit</w:t>
            </w: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Fonts w:cs="Times New Roman" w:hAnsi="Times New Roman" w:eastAsia="Times New Roman" w:ascii="Times New Roman"/>
          <w:b w:val="0"/>
          <w:color w:val="00000a"/>
          <w:sz w:val="24"/>
          <w:rtl w:val="0"/>
        </w:rPr>
        <w:t xml:space="preserve">Pozn. Omluveným učitelům či konzultantům byla finanční odměna zaslána peněžní poukázkou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r w:rsidRPr="00000000" w:rsidR="00000000" w:rsidDel="00000000">
        <w:br w:type="page"/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200" w:line="276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widowControl w:val="0"/>
        <w:spacing w:lineRule="auto" w:after="200" w:line="276" w:before="0"/>
        <w:contextualSpacing w:val="0"/>
      </w:pPr>
      <w:r w:rsidRPr="00000000" w:rsidR="00000000" w:rsidDel="00000000">
        <w:rPr>
          <w:rtl w:val="0"/>
        </w:rPr>
      </w:r>
    </w:p>
    <w:sectPr>
      <w:pgSz w:w="11906" w:h="16838"/>
      <w:pgMar w:left="1134" w:right="1134" w:top="1134" w:bottom="1134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imes New Roman"/>
  <w:font w:name="Georgia"/>
  <w:font w:name="Arial"/>
  <w:font w:name="Arimo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cs="Arial" w:hAnsi="Arial" w:eastAsia="Arial" w:asci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cs="Arial" w:hAnsi="Arial" w:eastAsia="Arial" w:asci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cs="Arial" w:hAnsi="Arial" w:eastAsia="Arial" w:asci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cs="Arial" w:hAnsi="Arial" w:eastAsia="Arial" w:asci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cs="Arial" w:hAnsi="Arial" w:eastAsia="Arial" w:asci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cs="Arial" w:hAnsi="Arial" w:eastAsia="Arial" w:asci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cs="Arial" w:hAnsi="Arial" w:eastAsia="Arial" w:asci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cs="Arial" w:hAnsi="Arial" w:eastAsia="Arial" w:ascii="Arial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  <w:sz w:val="20"/>
      </w:rPr>
    </w:lvl>
    <w:lvl w:ilvl="1">
      <w:start w:val="1"/>
      <w:numFmt w:val="decimal"/>
      <w:lvlText w:val="%2."/>
      <w:lvlJc w:val="left"/>
      <w:pPr>
        <w:ind w:left="1080" w:firstLine="720"/>
      </w:pPr>
      <w:rPr/>
    </w:lvl>
    <w:lvl w:ilvl="2">
      <w:start w:val="1"/>
      <w:numFmt w:val="decimal"/>
      <w:lvlText w:val="%3."/>
      <w:lvlJc w:val="left"/>
      <w:pPr>
        <w:ind w:left="1440" w:firstLine="1080"/>
      </w:pPr>
      <w:rPr/>
    </w:lvl>
    <w:lvl w:ilvl="3">
      <w:start w:val="1"/>
      <w:numFmt w:val="decimal"/>
      <w:lvlText w:val="%4."/>
      <w:lvlJc w:val="left"/>
      <w:pPr>
        <w:ind w:left="1800" w:firstLine="1440"/>
      </w:pPr>
      <w:rPr/>
    </w:lvl>
    <w:lvl w:ilvl="4">
      <w:start w:val="1"/>
      <w:numFmt w:val="decimal"/>
      <w:lvlText w:val="%5."/>
      <w:lvlJc w:val="left"/>
      <w:pPr>
        <w:ind w:left="2160" w:firstLine="1800"/>
      </w:pPr>
      <w:rPr/>
    </w:lvl>
    <w:lvl w:ilvl="5">
      <w:start w:val="1"/>
      <w:numFmt w:val="decimal"/>
      <w:lvlText w:val="%6."/>
      <w:lvlJc w:val="left"/>
      <w:pPr>
        <w:ind w:left="2520" w:firstLine="2160"/>
      </w:pPr>
      <w:rPr/>
    </w:lvl>
    <w:lvl w:ilvl="6">
      <w:start w:val="1"/>
      <w:numFmt w:val="decimal"/>
      <w:lvlText w:val="%7."/>
      <w:lvlJc w:val="left"/>
      <w:pPr>
        <w:ind w:left="2880" w:firstLine="2520"/>
      </w:pPr>
      <w:rPr/>
    </w:lvl>
    <w:lvl w:ilvl="7">
      <w:start w:val="1"/>
      <w:numFmt w:val="decimal"/>
      <w:lvlText w:val="%8."/>
      <w:lvlJc w:val="left"/>
      <w:pPr>
        <w:ind w:left="3240" w:firstLine="2880"/>
      </w:pPr>
      <w:rPr/>
    </w:lvl>
    <w:lvl w:ilvl="8">
      <w:start w:val="1"/>
      <w:numFmt w:val="decimal"/>
      <w:lvlText w:val="%9."/>
      <w:lvlJc w:val="left"/>
      <w:pPr>
        <w:ind w:left="3600" w:firstLine="324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</w:rPr>
    </w:lvl>
    <w:lvl w:ilvl="1">
      <w:start w:val="1"/>
      <w:numFmt w:val="bullet"/>
      <w:lvlText w:val="◦"/>
      <w:lvlJc w:val="left"/>
      <w:pPr>
        <w:ind w:left="1080" w:firstLine="720"/>
      </w:pPr>
      <w:rPr>
        <w:rFonts w:cs="Arial" w:hAnsi="Arial" w:eastAsia="Arial" w:ascii="Arial"/>
      </w:rPr>
    </w:lvl>
    <w:lvl w:ilvl="2">
      <w:start w:val="1"/>
      <w:numFmt w:val="bullet"/>
      <w:lvlText w:val="▪"/>
      <w:lvlJc w:val="left"/>
      <w:pPr>
        <w:ind w:left="1440" w:firstLine="1080"/>
      </w:pPr>
      <w:rPr>
        <w:rFonts w:cs="Arial" w:hAnsi="Arial" w:eastAsia="Arial" w:ascii="Arial"/>
      </w:rPr>
    </w:lvl>
    <w:lvl w:ilvl="3">
      <w:start w:val="1"/>
      <w:numFmt w:val="bullet"/>
      <w:lvlText w:val="●"/>
      <w:lvlJc w:val="left"/>
      <w:pPr>
        <w:ind w:left="1800" w:firstLine="1440"/>
      </w:pPr>
      <w:rPr>
        <w:rFonts w:cs="Arial" w:hAnsi="Arial" w:eastAsia="Arial" w:ascii="Arial"/>
      </w:rPr>
    </w:lvl>
    <w:lvl w:ilvl="4">
      <w:start w:val="1"/>
      <w:numFmt w:val="bullet"/>
      <w:lvlText w:val="◦"/>
      <w:lvlJc w:val="left"/>
      <w:pPr>
        <w:ind w:left="2160" w:firstLine="1800"/>
      </w:pPr>
      <w:rPr>
        <w:rFonts w:cs="Arial" w:hAnsi="Arial" w:eastAsia="Arial" w:ascii="Arial"/>
      </w:rPr>
    </w:lvl>
    <w:lvl w:ilvl="5">
      <w:start w:val="1"/>
      <w:numFmt w:val="bullet"/>
      <w:lvlText w:val="▪"/>
      <w:lvlJc w:val="left"/>
      <w:pPr>
        <w:ind w:left="2520" w:firstLine="2160"/>
      </w:pPr>
      <w:rPr>
        <w:rFonts w:cs="Arial" w:hAnsi="Arial" w:eastAsia="Arial" w:ascii="Arial"/>
      </w:rPr>
    </w:lvl>
    <w:lvl w:ilvl="6">
      <w:start w:val="1"/>
      <w:numFmt w:val="bullet"/>
      <w:lvlText w:val="●"/>
      <w:lvlJc w:val="left"/>
      <w:pPr>
        <w:ind w:left="2880" w:firstLine="2520"/>
      </w:pPr>
      <w:rPr>
        <w:rFonts w:cs="Arial" w:hAnsi="Arial" w:eastAsia="Arial" w:ascii="Arial"/>
      </w:rPr>
    </w:lvl>
    <w:lvl w:ilvl="7">
      <w:start w:val="1"/>
      <w:numFmt w:val="bullet"/>
      <w:lvlText w:val="◦"/>
      <w:lvlJc w:val="left"/>
      <w:pPr>
        <w:ind w:left="3240" w:firstLine="2880"/>
      </w:pPr>
      <w:rPr>
        <w:rFonts w:cs="Arial" w:hAnsi="Arial" w:eastAsia="Arial" w:ascii="Arial"/>
      </w:rPr>
    </w:lvl>
    <w:lvl w:ilvl="8">
      <w:start w:val="1"/>
      <w:numFmt w:val="bullet"/>
      <w:lvlText w:val="▪"/>
      <w:lvlJc w:val="left"/>
      <w:pPr>
        <w:ind w:left="3600" w:firstLine="3240"/>
      </w:pPr>
      <w:rPr>
        <w:rFonts w:cs="Arial" w:hAnsi="Arial" w:eastAsia="Arial" w:ascii="Arial"/>
      </w:rPr>
    </w:lvl>
  </w:abstractNum>
  <w:abstractNum w:abstractNumId="4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</w:rPr>
    </w:lvl>
    <w:lvl w:ilvl="1">
      <w:start w:val="1"/>
      <w:numFmt w:val="bullet"/>
      <w:lvlText w:val="◦"/>
      <w:lvlJc w:val="left"/>
      <w:pPr>
        <w:ind w:left="1080" w:firstLine="720"/>
      </w:pPr>
      <w:rPr>
        <w:rFonts w:cs="Arial" w:hAnsi="Arial" w:eastAsia="Arial" w:ascii="Arial"/>
      </w:rPr>
    </w:lvl>
    <w:lvl w:ilvl="2">
      <w:start w:val="1"/>
      <w:numFmt w:val="bullet"/>
      <w:lvlText w:val="▪"/>
      <w:lvlJc w:val="left"/>
      <w:pPr>
        <w:ind w:left="1440" w:firstLine="1080"/>
      </w:pPr>
      <w:rPr>
        <w:rFonts w:cs="Arial" w:hAnsi="Arial" w:eastAsia="Arial" w:ascii="Arial"/>
      </w:rPr>
    </w:lvl>
    <w:lvl w:ilvl="3">
      <w:start w:val="1"/>
      <w:numFmt w:val="bullet"/>
      <w:lvlText w:val="●"/>
      <w:lvlJc w:val="left"/>
      <w:pPr>
        <w:ind w:left="1800" w:firstLine="1440"/>
      </w:pPr>
      <w:rPr>
        <w:rFonts w:cs="Arial" w:hAnsi="Arial" w:eastAsia="Arial" w:ascii="Arial"/>
      </w:rPr>
    </w:lvl>
    <w:lvl w:ilvl="4">
      <w:start w:val="1"/>
      <w:numFmt w:val="bullet"/>
      <w:lvlText w:val="◦"/>
      <w:lvlJc w:val="left"/>
      <w:pPr>
        <w:ind w:left="2160" w:firstLine="1800"/>
      </w:pPr>
      <w:rPr>
        <w:rFonts w:cs="Arial" w:hAnsi="Arial" w:eastAsia="Arial" w:ascii="Arial"/>
      </w:rPr>
    </w:lvl>
    <w:lvl w:ilvl="5">
      <w:start w:val="1"/>
      <w:numFmt w:val="bullet"/>
      <w:lvlText w:val="▪"/>
      <w:lvlJc w:val="left"/>
      <w:pPr>
        <w:ind w:left="2520" w:firstLine="2160"/>
      </w:pPr>
      <w:rPr>
        <w:rFonts w:cs="Arial" w:hAnsi="Arial" w:eastAsia="Arial" w:ascii="Arial"/>
      </w:rPr>
    </w:lvl>
    <w:lvl w:ilvl="6">
      <w:start w:val="1"/>
      <w:numFmt w:val="bullet"/>
      <w:lvlText w:val="●"/>
      <w:lvlJc w:val="left"/>
      <w:pPr>
        <w:ind w:left="2880" w:firstLine="2520"/>
      </w:pPr>
      <w:rPr>
        <w:rFonts w:cs="Arial" w:hAnsi="Arial" w:eastAsia="Arial" w:ascii="Arial"/>
      </w:rPr>
    </w:lvl>
    <w:lvl w:ilvl="7">
      <w:start w:val="1"/>
      <w:numFmt w:val="bullet"/>
      <w:lvlText w:val="◦"/>
      <w:lvlJc w:val="left"/>
      <w:pPr>
        <w:ind w:left="3240" w:firstLine="2880"/>
      </w:pPr>
      <w:rPr>
        <w:rFonts w:cs="Arial" w:hAnsi="Arial" w:eastAsia="Arial" w:ascii="Arial"/>
      </w:rPr>
    </w:lvl>
    <w:lvl w:ilvl="8">
      <w:start w:val="1"/>
      <w:numFmt w:val="bullet"/>
      <w:lvlText w:val="▪"/>
      <w:lvlJc w:val="left"/>
      <w:pPr>
        <w:ind w:left="3600" w:firstLine="3240"/>
      </w:pPr>
      <w:rPr>
        <w:rFonts w:cs="Arial" w:hAnsi="Arial" w:eastAsia="Arial" w:ascii="Arial"/>
      </w:rPr>
    </w:lvl>
  </w:abstractNum>
  <w:abstractNum w:abstractNumId="5">
    <w:lvl w:ilvl="0">
      <w:start w:val="1"/>
      <w:numFmt w:val="decimal"/>
      <w:lvlText w:val="%1."/>
      <w:lvlJc w:val="left"/>
      <w:pPr>
        <w:ind w:left="283" w:firstLine="0"/>
      </w:pPr>
      <w:rPr/>
    </w:lvl>
    <w:lvl w:ilvl="1">
      <w:start w:val="1"/>
      <w:numFmt w:val="decimal"/>
      <w:lvlText w:val="%2."/>
      <w:lvlJc w:val="left"/>
      <w:pPr>
        <w:ind w:left="567" w:firstLine="284"/>
      </w:pPr>
      <w:rPr/>
    </w:lvl>
    <w:lvl w:ilvl="2">
      <w:start w:val="1"/>
      <w:numFmt w:val="decimal"/>
      <w:lvlText w:val="%3."/>
      <w:lvlJc w:val="left"/>
      <w:pPr>
        <w:ind w:left="850" w:firstLine="567"/>
      </w:pPr>
      <w:rPr/>
    </w:lvl>
    <w:lvl w:ilvl="3">
      <w:start w:val="1"/>
      <w:numFmt w:val="decimal"/>
      <w:lvlText w:val="%4."/>
      <w:lvlJc w:val="left"/>
      <w:pPr>
        <w:ind w:left="1134" w:firstLine="851"/>
      </w:pPr>
      <w:rPr/>
    </w:lvl>
    <w:lvl w:ilvl="4">
      <w:start w:val="1"/>
      <w:numFmt w:val="decimal"/>
      <w:lvlText w:val="%5."/>
      <w:lvlJc w:val="left"/>
      <w:pPr>
        <w:ind w:left="1417" w:firstLine="1134"/>
      </w:pPr>
      <w:rPr/>
    </w:lvl>
    <w:lvl w:ilvl="5">
      <w:start w:val="1"/>
      <w:numFmt w:val="decimal"/>
      <w:lvlText w:val="%6."/>
      <w:lvlJc w:val="left"/>
      <w:pPr>
        <w:ind w:left="1701" w:firstLine="1418"/>
      </w:pPr>
      <w:rPr/>
    </w:lvl>
    <w:lvl w:ilvl="6">
      <w:start w:val="1"/>
      <w:numFmt w:val="decimal"/>
      <w:lvlText w:val="%7."/>
      <w:lvlJc w:val="left"/>
      <w:pPr>
        <w:ind w:left="1984" w:firstLine="1701"/>
      </w:pPr>
      <w:rPr/>
    </w:lvl>
    <w:lvl w:ilvl="7">
      <w:start w:val="1"/>
      <w:numFmt w:val="decimal"/>
      <w:lvlText w:val="%8."/>
      <w:lvlJc w:val="left"/>
      <w:pPr>
        <w:ind w:left="2268" w:firstLine="1985"/>
      </w:pPr>
      <w:rPr/>
    </w:lvl>
    <w:lvl w:ilvl="8">
      <w:start w:val="1"/>
      <w:numFmt w:val="decimal"/>
      <w:lvlText w:val="%9."/>
      <w:lvlJc w:val="left"/>
      <w:pPr>
        <w:ind w:left="2551" w:firstLine="2268"/>
      </w:pPr>
      <w:rPr/>
    </w:lvl>
  </w:abstractNum>
  <w:abstractNum w:abstractNumId="6">
    <w:lvl w:ilvl="0">
      <w:start w:val="1"/>
      <w:numFmt w:val="decimal"/>
      <w:lvlText w:val=""/>
      <w:lvlJc w:val="left"/>
      <w:pPr>
        <w:ind w:left="432" w:firstLine="0"/>
      </w:pPr>
      <w:rPr/>
    </w:lvl>
    <w:lvl w:ilvl="1">
      <w:start w:val="1"/>
      <w:numFmt w:val="decimal"/>
      <w:lvlText w:val=""/>
      <w:lvlJc w:val="left"/>
      <w:pPr>
        <w:ind w:left="576" w:firstLine="0"/>
      </w:pPr>
      <w:rPr/>
    </w:lvl>
    <w:lvl w:ilvl="2">
      <w:start w:val="1"/>
      <w:numFmt w:val="decimal"/>
      <w:lvlText w:val=""/>
      <w:lvlJc w:val="left"/>
      <w:pPr>
        <w:ind w:left="720" w:firstLine="0"/>
      </w:pPr>
      <w:rPr/>
    </w:lvl>
    <w:lvl w:ilvl="3">
      <w:start w:val="1"/>
      <w:numFmt w:val="decimal"/>
      <w:lvlText w:val=""/>
      <w:lvlJc w:val="left"/>
      <w:pPr>
        <w:ind w:left="864" w:firstLine="0"/>
      </w:pPr>
      <w:rPr/>
    </w:lvl>
    <w:lvl w:ilvl="4">
      <w:start w:val="1"/>
      <w:numFmt w:val="decimal"/>
      <w:lvlText w:val=""/>
      <w:lvlJc w:val="left"/>
      <w:pPr>
        <w:ind w:left="1008" w:firstLine="0"/>
      </w:pPr>
      <w:rPr/>
    </w:lvl>
    <w:lvl w:ilvl="5">
      <w:start w:val="1"/>
      <w:numFmt w:val="decimal"/>
      <w:lvlText w:val=""/>
      <w:lvlJc w:val="left"/>
      <w:pPr>
        <w:ind w:left="1152" w:firstLine="0"/>
      </w:pPr>
      <w:rPr/>
    </w:lvl>
    <w:lvl w:ilvl="6">
      <w:start w:val="1"/>
      <w:numFmt w:val="decimal"/>
      <w:lvlText w:val=""/>
      <w:lvlJc w:val="left"/>
      <w:pPr>
        <w:ind w:left="1296" w:firstLine="0"/>
      </w:pPr>
      <w:rPr/>
    </w:lvl>
    <w:lvl w:ilvl="7">
      <w:start w:val="1"/>
      <w:numFmt w:val="decimal"/>
      <w:lvlText w:val=""/>
      <w:lvlJc w:val="left"/>
      <w:pPr>
        <w:ind w:left="1440" w:firstLine="0"/>
      </w:pPr>
      <w:rPr/>
    </w:lvl>
    <w:lvl w:ilvl="8">
      <w:start w:val="1"/>
      <w:numFmt w:val="decimal"/>
      <w:lvlText w:val=""/>
      <w:lvlJc w:val="left"/>
      <w:pPr>
        <w:ind w:left="1584" w:firstLine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ocDefaults>
    <w:rPrDefault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pacing w:lineRule="auto" w:after="0" w:line="276" w:before="0"/>
        <w:ind w:left="0" w:firstLine="0" w:right="0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</w:style>
  <w:style w:styleId="Heading1" w:type="paragraph">
    <w:name w:val="heading 1"/>
    <w:basedOn w:val="Normal"/>
    <w:next w:val="Normal"/>
    <w:pPr>
      <w:keepNext w:val="1"/>
      <w:keepLines w:val="1"/>
      <w:spacing w:lineRule="auto" w:after="120" w:before="480"/>
      <w:contextualSpacing w:val="1"/>
    </w:pPr>
    <w:rPr>
      <w:b w:val="1"/>
      <w:sz w:val="48"/>
    </w:rPr>
  </w:style>
  <w:style w:styleId="Heading2" w:type="paragraph">
    <w:name w:val="heading 2"/>
    <w:basedOn w:val="Normal"/>
    <w:next w:val="Normal"/>
    <w:pPr>
      <w:keepNext w:val="1"/>
      <w:keepLines w:val="1"/>
      <w:spacing w:lineRule="auto" w:after="80" w:before="360"/>
      <w:contextualSpacing w:val="1"/>
    </w:pPr>
    <w:rPr>
      <w:b w:val="1"/>
      <w:sz w:val="36"/>
    </w:rPr>
  </w:style>
  <w:style w:styleId="Heading3" w:type="paragraph">
    <w:name w:val="heading 3"/>
    <w:basedOn w:val="Normal"/>
    <w:next w:val="Normal"/>
    <w:pPr>
      <w:keepNext w:val="1"/>
      <w:keepLines w:val="1"/>
      <w:spacing w:lineRule="auto" w:after="80" w:before="280"/>
      <w:contextualSpacing w:val="1"/>
    </w:pPr>
    <w:rPr>
      <w:b w:val="1"/>
      <w:sz w:val="28"/>
    </w:rPr>
  </w:style>
  <w:style w:styleId="Heading4" w:type="paragraph">
    <w:name w:val="heading 4"/>
    <w:basedOn w:val="Normal"/>
    <w:next w:val="Normal"/>
    <w:pPr>
      <w:keepNext w:val="1"/>
      <w:keepLines w:val="1"/>
      <w:spacing w:lineRule="auto" w:after="40" w:before="240"/>
      <w:contextualSpacing w:val="1"/>
    </w:pPr>
    <w:rPr>
      <w:b w:val="1"/>
      <w:sz w:val="24"/>
    </w:rPr>
  </w:style>
  <w:style w:styleId="Heading5" w:type="paragraph">
    <w:name w:val="heading 5"/>
    <w:basedOn w:val="Normal"/>
    <w:next w:val="Normal"/>
    <w:pPr>
      <w:keepNext w:val="1"/>
      <w:keepLines w:val="1"/>
      <w:spacing w:lineRule="auto" w:after="40" w:before="220"/>
      <w:contextualSpacing w:val="1"/>
    </w:pPr>
    <w:rPr>
      <w:b w:val="1"/>
      <w:sz w:val="22"/>
    </w:rPr>
  </w:style>
  <w:style w:styleId="Heading6" w:type="paragraph">
    <w:name w:val="heading 6"/>
    <w:basedOn w:val="Normal"/>
    <w:next w:val="Normal"/>
    <w:pPr>
      <w:keepNext w:val="1"/>
      <w:keepLines w:val="1"/>
      <w:spacing w:lineRule="auto" w:after="40" w:before="200"/>
      <w:contextualSpacing w:val="1"/>
    </w:pPr>
    <w:rPr>
      <w:b w:val="1"/>
      <w:sz w:val="20"/>
    </w:rPr>
  </w:style>
  <w:style w:styleId="Title" w:type="paragraph">
    <w:name w:val="Title"/>
    <w:basedOn w:val="Normal"/>
    <w:next w:val="Normal"/>
    <w:pPr>
      <w:keepNext w:val="1"/>
      <w:keepLines w:val="1"/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keepNext w:val="1"/>
      <w:keepLines w:val="1"/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  <w:style w:styleId="KixTable1" w:type="table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styleId="KixTable2" w:type="table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styleId="KixTable3" w:type="table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styleId="KixTable4" w:type="table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styleId="KixTable5" w:type="table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styleId="KixTable6" w:type="table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styleId="KixTable7" w:type="table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styleId="KixTable8" w:type="table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styleId="KixTable9" w:type="table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styleId="KixTable10" w:type="table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styleId="KixTable11" w:type="table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styleId="KixTable12" w:type="table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styleId="KixTable13" w:type="table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jh-inst.cas.cz/3nastroje" Type="http://schemas.openxmlformats.org/officeDocument/2006/relationships/hyperlink" TargetMode="External" Id="rId6"/><Relationship Target="http://www.jh-inst.cas.cz/heyrovsky" Type="http://schemas.openxmlformats.org/officeDocument/2006/relationships/hyperlink" TargetMode="External" Id="rId5"/><Relationship Target="http://www.njh.cz/" Type="http://schemas.openxmlformats.org/officeDocument/2006/relationships/hyperlink" TargetMode="External" Id="rId7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NFJH_zprava2013_kveta.docx.docx</dc:title>
</cp:coreProperties>
</file>